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General Counsel &amp; Chief Compliance Officer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Washington, DC    |    in linkedin.com/in/victoria-harrington-law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Corporate general counsel with 14+ years managing global legal affairs, antitrust compliance, intellectual property protection, and high-stakes cross-border dispute resolution for NASDAQ-listed technology corporations.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Corporate Governance    •    SEC &amp; Regulatory Compliance    •    IP &amp; Patent Litigation</w:t>
      </w:r>
    </w:p>
    <w:p>
      <w:pPr>
        <w:spacing w:before="0" w:after="50"/>
      </w:pPr>
      <w:r>
        <w:rPr>
          <w:b/>
          <w:sz w:val="20"/>
          <w:color w:val="0F172A"/>
        </w:rPr>
        <w:t>• Contract Negotiation    •    Data Privacy (GDPR/CCPA)    •    Risk Mitigation</w:t>
      </w:r>
    </w:p>
    <w:p>
      <w:pPr>
        <w:spacing w:before="0" w:after="50"/>
      </w:pPr>
      <w:r>
        <w:rPr>
          <w:b/>
          <w:sz w:val="20"/>
          <w:color w:val="0F172A"/>
        </w:rPr>
        <w:t>• M&amp;A Antitrust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Executive VP, General Counsel</w:t>
            </w:r>
            <w:r>
              <w:rPr>
                <w:sz w:val="20"/>
                <w:color w:val="64748B"/>
              </w:rPr>
              <w:t>  —  Aegis Cyber Systems Corp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2020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Advise Executive Chairman and Board of Directors on corporate governance, SEC filings, and data privacy regulations (GDPR, CCPA).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Successfully resolved $120M patent infringement lawsuit with favorable licensing agreement.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Structured and negotiated multi-jurisdiction software licensing agreements with global banking institutions.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Partner, Corporate Governance</w:t>
            </w:r>
            <w:r>
              <w:rPr>
                <w:sz w:val="20"/>
                <w:color w:val="64748B"/>
              </w:rPr>
              <w:t>  —  Covington &amp; Sterling LLP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2013 – 2020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Provided outside counsel for 20+ tech startups through Series A through IPO capital raises.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Led antitrust compliance audits and internal foreign corrupt practices act (FCPA) reviews.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Juris Doctor (J.D.), Magna Cum Laude</w:t>
            </w:r>
            <w:r>
              <w:rPr>
                <w:sz w:val="20"/>
                <w:color w:val="64748B"/>
              </w:rPr>
              <w:t>  |  Georgetown University Law Center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2013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B.A. in Political Science &amp; Ethics</w:t>
            </w:r>
            <w:r>
              <w:rPr>
                <w:sz w:val="20"/>
                <w:color w:val="64748B"/>
              </w:rPr>
              <w:t>  |  University of Virginia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2010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