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Senior M&amp;A Partner &amp; Corporate Restructuring Lead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55 Wall Street, New York, NY    |    in linkedin.com/in/arthur-sterling-esq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Senior corporate attorney and M&amp;A partner with 17+ years representing multinational conglomerates, private equity sponsors, and financial institutions in public mergers, hostile takeovers, and debt restructuring valued in excess of $8.5B.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Public &amp; Private M&amp;A    •    Cross-Border Tender Offers    •    Corporate Governance</w:t>
      </w:r>
    </w:p>
    <w:p>
      <w:pPr>
        <w:spacing w:before="0" w:after="50"/>
      </w:pPr>
      <w:r>
        <w:rPr>
          <w:b/>
          <w:sz w:val="20"/>
          <w:color w:val="0F172A"/>
        </w:rPr>
        <w:t>• SEC Compliance    •    Antitrust &amp; Hart-Scott-Rodino    •    Debt Restructuring</w:t>
      </w:r>
    </w:p>
    <w:p>
      <w:pPr>
        <w:spacing w:before="0" w:after="50"/>
      </w:pPr>
      <w:r>
        <w:rPr>
          <w:b/>
          <w:sz w:val="20"/>
          <w:color w:val="0F172A"/>
        </w:rPr>
        <w:t>• C-Suite Negotiation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Partner, Mergers &amp; Acquisitions</w:t>
            </w:r>
            <w:r>
              <w:rPr>
                <w:sz w:val="20"/>
                <w:color w:val="64748B"/>
              </w:rPr>
              <w:t>  —  Sterling, Caldwell &amp; Vance LLP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2016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Lead counsel for Fortune 50 industrial conglomerate in $3.4B cross-border acquisition and antitrust clearance.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Structured intricate dual-class share recapitalizations and cross-border tender offers across US and UK markets.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Serve on Executive Committee guiding legal practice group of 45 corporate associates and junior partners.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Partner, Corporate Restructuring</w:t>
            </w:r>
            <w:r>
              <w:rPr>
                <w:sz w:val="20"/>
                <w:color w:val="64748B"/>
              </w:rPr>
              <w:t>  —  Skadden, Arps &amp; Associates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2008 – 2016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Successfully navigated Chapter 11 debt restructurings for aerospace and retail corporations preserving 12,000 jobs.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Drafted complex credit facility agreements, debenture indentures, and securities filings with the SEC.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Juris Doctor (J.D.), Order of the Coif</w:t>
            </w:r>
            <w:r>
              <w:rPr>
                <w:sz w:val="20"/>
                <w:color w:val="64748B"/>
              </w:rPr>
              <w:t>  |  Columbia Law School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2008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A.B. in History &amp; Government, Magna Cum Laude</w:t>
            </w:r>
            <w:r>
              <w:rPr>
                <w:sz w:val="20"/>
                <w:color w:val="64748B"/>
              </w:rPr>
              <w:t>  |  Harvard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2005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