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rFonts w:ascii="Segoe UI" w:hAnsi="Segoe UI" w:cs="Segoe UI"/>
          <w:b/>
          <w:sz w:val="48"/>
          <w:color w:val="0F172A"/>
        </w:rPr>
        <w:t>UMAKANT YADAV</w:t>
      </w:r>
    </w:p>
    <w:p>
      <w:pPr>
        <w:jc w:val="center"/>
        <w:spacing w:before="0" w:after="90"/>
      </w:pPr>
      <w:r>
        <w:rPr>
          <w:rFonts w:ascii="Segoe UI" w:hAnsi="Segoe UI" w:cs="Segoe UI"/>
          <w:b/>
          <w:sz w:val="26"/>
          <w:color w:val="6D28D9"/>
        </w:rPr>
        <w:t>Senior Director of Enterprise PMO &amp; Transformation</w:t>
      </w:r>
    </w:p>
    <w:p>
      <w:pPr>
        <w:jc w:val="center"/>
        <w:spacing w:before="0" w:after="160"/>
        <w:pBdr>
          <w:bottom w:val="single" w:sz="18" w:space="8" w:color="7C3AED"/>
        </w:pBdr>
      </w:pPr>
      <w:r>
        <w:rPr>
          <w:rFonts w:ascii="Segoe UI" w:hAnsi="Segoe UI"/>
          <w:b/>
          <w:sz w:val="18"/>
          <w:color w:val="7C3AED"/>
        </w:rPr>
        <w:t xml:space="preserve">✉  </w:t>
      </w:r>
      <w:r>
        <w:rPr>
          <w:rFonts w:ascii="Segoe UI" w:hAnsi="Segoe UI"/>
          <w:sz w:val="18"/>
          <w:color w:val="334155"/>
        </w:rPr>
        <w:t>uky171991@gmail.com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7C3AED"/>
        </w:rPr>
        <w:t xml:space="preserve">✆  </w:t>
      </w:r>
      <w:r>
        <w:rPr>
          <w:rFonts w:ascii="Segoe UI" w:hAnsi="Segoe UI"/>
          <w:sz w:val="18"/>
          <w:color w:val="334155"/>
        </w:rPr>
        <w:t>9453619260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7C3AED"/>
        </w:rPr>
        <w:t xml:space="preserve">⚲  </w:t>
      </w:r>
      <w:r>
        <w:rPr>
          <w:rFonts w:ascii="Segoe UI" w:hAnsi="Segoe UI"/>
          <w:sz w:val="18"/>
          <w:color w:val="334155"/>
        </w:rPr>
        <w:t>Boston, MA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7C3AED"/>
        </w:rPr>
        <w:t xml:space="preserve">in  </w:t>
      </w:r>
      <w:r>
        <w:rPr>
          <w:rFonts w:ascii="Segoe UI" w:hAnsi="Segoe UI"/>
          <w:sz w:val="18"/>
          <w:color w:val="334155"/>
        </w:rPr>
        <w:t>linkedin.com/in/davidhenderson-pmp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6400" w:type="dxa"/>
            <w:tcMar>
              <w:right w:w="240" w:type="dxa"/>
            </w:tcMar>
          </w:tcPr>
          <w:p>
            <w:pPr>
              <w:spacing w:before="140" w:after="80"/>
              <w:pBdr>
                <w:bottom w:val="single" w:sz="6" w:space="4" w:color="7C3AED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7C3AED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6D28D9"/>
              </w:rPr>
              <w:t xml:space="preserve">  PROFILE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7C3AED"/>
              </w:rPr>
              <w:t xml:space="preserve">–  </w:t>
            </w:r>
            <w:r>
              <w:rPr>
                <w:rFonts w:ascii="Segoe UI" w:hAnsi="Segoe UI" w:cs="Segoe UI"/>
                <w:sz w:val="19"/>
                <w:color w:val="334155"/>
              </w:rPr>
              <w:t>Senior Program Director with 13+ years steering enterprise ERP implementations, digital transformations, and complex capital programs valued up to $180M. Expert in Agile/Scrum and Waterfall governance.</w:t>
            </w:r>
          </w:p>
          <w:p>
            <w:pPr>
              <w:spacing w:before="0" w:after="0"/>
            </w:pPr>
          </w:p>
        </w:tc>
        <w:tc>
          <w:tcPr>
            <w:tcW w:w="4066" w:type="dxa"/>
            <w:tcMar>
              <w:left w:w="240" w:type="dxa"/>
            </w:tcMar>
          </w:tcPr>
          <w:p>
            <w:pPr>
              <w:spacing w:before="140" w:after="80"/>
              <w:pBdr>
                <w:bottom w:val="single" w:sz="6" w:space="4" w:color="7C3AED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7C3AED"/>
                <w:color w:val="FFFFFF"/>
              </w:rPr>
              <w:t xml:space="preserve">  🗂  </w:t>
            </w:r>
            <w:r>
              <w:rPr>
                <w:rFonts w:ascii="Segoe UI" w:hAnsi="Segoe UI" w:cs="Segoe UI"/>
                <w:b/>
                <w:sz w:val="22"/>
                <w:color w:val="6D28D9"/>
              </w:rPr>
              <w:t xml:space="preserve">  CORE COMPETENCIES</w:t>
            </w:r>
          </w:p>
          <w:tbl>
            <w:tblPr>
              <w:tblW w:w="4066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r>
              <w:tc>
                <w:tcPr>
                  <w:tcW w:w="4066" w:type="dxa"/>
                  <w:shd w:val="clear" w:color="auto" w:fill="8B5CF6"/>
                  <w:tcBorders>
                    <w:top w:val="single" w:sz="6" w:space="0" w:color="6D28D9"/>
                    <w:left w:val="single" w:sz="6" w:space="0" w:color="6D28D9"/>
                    <w:bottom w:val="single" w:sz="6" w:space="0" w:color="6D28D9"/>
                    <w:right w:val="single" w:sz="6" w:space="0" w:color="6D28D9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Enterprise PMO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8B5CF6"/>
                  <w:tcBorders>
                    <w:top w:val="single" w:sz="6" w:space="0" w:color="6D28D9"/>
                    <w:left w:val="single" w:sz="6" w:space="0" w:color="6D28D9"/>
                    <w:bottom w:val="single" w:sz="6" w:space="0" w:color="6D28D9"/>
                    <w:right w:val="single" w:sz="6" w:space="0" w:color="6D28D9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SAFe &amp; Agile Coaching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8B5CF6"/>
                  <w:tcBorders>
                    <w:top w:val="single" w:sz="6" w:space="0" w:color="6D28D9"/>
                    <w:left w:val="single" w:sz="6" w:space="0" w:color="6D28D9"/>
                    <w:bottom w:val="single" w:sz="6" w:space="0" w:color="6D28D9"/>
                    <w:right w:val="single" w:sz="6" w:space="0" w:color="6D28D9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SAP S/4HANA Migration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8B5CF6"/>
                  <w:tcBorders>
                    <w:top w:val="single" w:sz="6" w:space="0" w:color="6D28D9"/>
                    <w:left w:val="single" w:sz="6" w:space="0" w:color="6D28D9"/>
                    <w:bottom w:val="single" w:sz="6" w:space="0" w:color="6D28D9"/>
                    <w:right w:val="single" w:sz="6" w:space="0" w:color="6D28D9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Risk &amp; Budget Governance ($150M+)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8B5CF6"/>
                  <w:tcBorders>
                    <w:top w:val="single" w:sz="6" w:space="0" w:color="6D28D9"/>
                    <w:left w:val="single" w:sz="6" w:space="0" w:color="6D28D9"/>
                    <w:bottom w:val="single" w:sz="6" w:space="0" w:color="6D28D9"/>
                    <w:right w:val="single" w:sz="6" w:space="0" w:color="6D28D9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Change Management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8B5CF6"/>
                  <w:tcBorders>
                    <w:top w:val="single" w:sz="6" w:space="0" w:color="6D28D9"/>
                    <w:left w:val="single" w:sz="6" w:space="0" w:color="6D28D9"/>
                    <w:bottom w:val="single" w:sz="6" w:space="0" w:color="6D28D9"/>
                    <w:right w:val="single" w:sz="6" w:space="0" w:color="6D28D9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Executive SteerCo Reporting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120" w:after="120"/>
        <w:pBdr>
          <w:bottom w:val="single" w:sz="14" w:space="6" w:color="7C3AED"/>
        </w:pBdr>
      </w:pPr>
    </w:p>
    <w:p>
      <w:pPr>
        <w:spacing w:before="140" w:after="80"/>
        <w:pBdr>
          <w:bottom w:val="single" w:sz="6" w:space="4" w:color="7C3AED"/>
        </w:pBdr>
      </w:pPr>
      <w:r>
        <w:rPr>
          <w:rFonts w:ascii="Segoe UI" w:hAnsi="Segoe UI" w:cs="Segoe UI"/>
          <w:b/>
          <w:sz w:val="20"/>
          <w:shd w:val="clear" w:color="auto" w:fill="7C3AED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6D28D9"/>
        </w:rPr>
        <w:t xml:space="preserve">  CAREER TIMELINE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Director, Enterprise PMO</w:t>
            </w:r>
            <w:r>
              <w:rPr>
                <w:sz w:val="20"/>
                <w:color w:val="64748B"/>
              </w:rPr>
              <w:t>  —  Global Logistics Infrastructure Partners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6D28D9"/>
              </w:rPr>
              <w:t>2020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7C3AED"/>
        </w:rPr>
        <w:t>▪ </w:t>
      </w:r>
      <w:r>
        <w:rPr>
          <w:sz w:val="20"/>
          <w:color w:val="334155"/>
        </w:rPr>
        <w:t>Lead governance over 45 concurrent capital technology and modernization initiatives across 14 countries.</w:t>
      </w:r>
    </w:p>
    <w:p>
      <w:pPr>
        <w:spacing w:before="20" w:after="40"/>
        <w:ind w:left="360" w:hanging="240"/>
      </w:pPr>
      <w:r>
        <w:rPr>
          <w:sz w:val="20"/>
          <w:color w:val="7C3AED"/>
        </w:rPr>
        <w:t>▪ </w:t>
      </w:r>
      <w:r>
        <w:rPr>
          <w:sz w:val="20"/>
          <w:color w:val="334155"/>
        </w:rPr>
        <w:t>Delivered enterprise SAP S/4HANA cloud migration 2 months ahead of schedule and $4.2M under budget.</w:t>
      </w:r>
    </w:p>
    <w:p>
      <w:pPr>
        <w:spacing w:before="20" w:after="40"/>
        <w:ind w:left="360" w:hanging="240"/>
      </w:pPr>
      <w:r>
        <w:rPr>
          <w:sz w:val="20"/>
          <w:color w:val="7C3AED"/>
        </w:rPr>
        <w:t>▪ </w:t>
      </w:r>
      <w:r>
        <w:rPr>
          <w:sz w:val="20"/>
          <w:color w:val="334155"/>
        </w:rPr>
        <w:t>Established PMO Center of Excellence standardizing risk mitigation frameworks and executive KPI dashboards.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Principal Agile Program Manager</w:t>
            </w:r>
            <w:r>
              <w:rPr>
                <w:sz w:val="20"/>
                <w:color w:val="64748B"/>
              </w:rPr>
              <w:t>  —  State Street Financial Services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6D28D9"/>
              </w:rPr>
              <w:t>2015 – 2020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7C3AED"/>
        </w:rPr>
        <w:t>▪ </w:t>
      </w:r>
      <w:r>
        <w:rPr>
          <w:sz w:val="20"/>
          <w:color w:val="334155"/>
        </w:rPr>
        <w:t>Directed engineering squads through agile scrum cadence for real-time asset trading infrastructure.</w:t>
      </w:r>
    </w:p>
    <w:p>
      <w:pPr>
        <w:spacing w:before="20" w:after="40"/>
        <w:ind w:left="360" w:hanging="240"/>
      </w:pPr>
      <w:r>
        <w:rPr>
          <w:sz w:val="20"/>
          <w:color w:val="7C3AED"/>
        </w:rPr>
        <w:t>▪ </w:t>
      </w:r>
      <w:r>
        <w:rPr>
          <w:sz w:val="20"/>
          <w:color w:val="334155"/>
        </w:rPr>
        <w:t>Reduced production release failure rates by 78% while accelerating sprint release velocity by 2.4x.</w:t>
      </w:r>
    </w:p>
    <w:p>
      <w:pPr>
        <w:spacing w:before="120" w:after="120"/>
        <w:pBdr>
          <w:bottom w:val="single" w:sz="14" w:space="6" w:color="7C3AED"/>
        </w:pBdr>
      </w:pPr>
    </w:p>
    <w:p>
      <w:pPr>
        <w:spacing w:before="140" w:after="80"/>
        <w:pBdr>
          <w:bottom w:val="single" w:sz="6" w:space="4" w:color="7C3AED"/>
        </w:pBdr>
      </w:pPr>
      <w:r>
        <w:rPr>
          <w:rFonts w:ascii="Segoe UI" w:hAnsi="Segoe UI" w:cs="Segoe UI"/>
          <w:b/>
          <w:sz w:val="20"/>
          <w:shd w:val="clear" w:color="auto" w:fill="7C3AED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6D28D9"/>
        </w:rPr>
        <w:t xml:space="preserve">  EDUCATION &amp; ACADEMICS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M.S. in Technology Management</w:t>
            </w:r>
            <w:r>
              <w:rPr>
                <w:sz w:val="20"/>
                <w:color w:val="64748B"/>
              </w:rPr>
              <w:t>  |  MIT Sloan School of Management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6D28D9"/>
              </w:rPr>
              <w:t>2015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Electrical &amp; Computer Engineering</w:t>
            </w:r>
            <w:r>
              <w:rPr>
                <w:sz w:val="20"/>
                <w:color w:val="64748B"/>
              </w:rPr>
              <w:t>  |  Northeastern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6D28D9"/>
              </w:rPr>
              <w:t>2011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