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Vice President – Investment Banking &amp; M&amp;A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New York, NY 10005    |    in linkedin.com/in/jonathan-vance-cfa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Distinguished investment banker with 8+ years leading cross-border M&amp;A transactions, debt financing, and financial modeling across tech and enterprise sectors. Executed over $4.2B in aggregate transaction volume with top-tier bulge bracket banks. Recognized for rigorous valuation accuracy and C-suite negotiation leadership.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M&amp;A Advisory    •    LBO Modeling    •    DCF Valuation</w:t>
      </w:r>
    </w:p>
    <w:p>
      <w:pPr>
        <w:spacing w:before="0" w:after="50"/>
      </w:pPr>
      <w:r>
        <w:rPr>
          <w:b/>
          <w:sz w:val="20"/>
          <w:color w:val="0F172A"/>
        </w:rPr>
        <w:t>• Capital Markets    •    Due Diligence    •    Financial Restructuring</w:t>
      </w:r>
    </w:p>
    <w:p>
      <w:pPr>
        <w:spacing w:before="0" w:after="50"/>
      </w:pPr>
      <w:r>
        <w:rPr>
          <w:b/>
          <w:sz w:val="20"/>
          <w:color w:val="0F172A"/>
        </w:rPr>
        <w:t>• SEC Reporting    •    Bloomberg Terminal    •    FactSet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Vice President, Global M&amp;A Advisory</w:t>
            </w:r>
            <w:r>
              <w:rPr>
                <w:sz w:val="20"/>
                <w:color w:val="64748B"/>
              </w:rPr>
              <w:t>  —  Morgan Sterling Capital Partners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Led execution of 12 closed M&amp;A transactions valued at $2.8B across SaaS, FinTech, and healthcare.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Supervised team of 6 analysts and associates in developing complex LBO, DCF, and accretion/dilution models.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Negotiated definitive merger agreements, term sheets, and board presentation packages for Fortune 500 executives.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Associate, Corporate Finance</w:t>
            </w:r>
            <w:r>
              <w:rPr>
                <w:sz w:val="20"/>
                <w:color w:val="64748B"/>
              </w:rPr>
              <w:t>  —  Vanguard Financial Group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2018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Spearheaded financial due diligence and synergy valuation on a $950M cross-border technology acquisition.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Built dynamic dynamic cash flow forecast models reducing forecast variance from 12% to under 2.5%.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Authored 35+ confidential information memorandums (CIM) and investor presentation decks.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of Business Administration (MBA) – Finance</w:t>
            </w:r>
            <w:r>
              <w:rPr>
                <w:sz w:val="20"/>
                <w:color w:val="64748B"/>
              </w:rPr>
              <w:t>  |  The Wharton School, University of Pennsylvania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2018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Economics, Magna Cum Laude</w:t>
            </w:r>
            <w:r>
              <w:rPr>
                <w:sz w:val="20"/>
                <w:color w:val="64748B"/>
              </w:rPr>
              <w:t>  |  Columbia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2015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